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8E" w:rsidRDefault="00EB0819">
      <w:pPr>
        <w:pBdr>
          <w:top w:val="nil"/>
          <w:left w:val="nil"/>
          <w:bottom w:val="nil"/>
          <w:right w:val="nil"/>
          <w:between w:val="nil"/>
        </w:pBdr>
        <w:ind w:left="-270" w:right="-27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Questions or clarifications: </w:t>
      </w:r>
    </w:p>
    <w:p w:rsidR="00A1128E" w:rsidRDefault="00EB0819">
      <w:pPr>
        <w:pBdr>
          <w:top w:val="nil"/>
          <w:left w:val="nil"/>
          <w:bottom w:val="nil"/>
          <w:right w:val="nil"/>
          <w:between w:val="nil"/>
        </w:pBdr>
        <w:ind w:left="-270" w:right="-27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</w:t>
      </w:r>
      <w:r>
        <w:rPr>
          <w:rFonts w:ascii="Avenir" w:eastAsia="Avenir" w:hAnsi="Avenir" w:cs="Avenir"/>
        </w:rPr>
        <w:t>mail Chris Filler (</w:t>
      </w:r>
      <w:hyperlink r:id="rId8">
        <w:r>
          <w:rPr>
            <w:rFonts w:ascii="Avenir" w:eastAsia="Avenir" w:hAnsi="Avenir" w:cs="Avenir"/>
            <w:u w:val="single"/>
          </w:rPr>
          <w:t>Chris_filler@ocali.org</w:t>
        </w:r>
      </w:hyperlink>
      <w:r>
        <w:rPr>
          <w:rFonts w:ascii="Avenir" w:eastAsia="Avenir" w:hAnsi="Avenir" w:cs="Avenir"/>
        </w:rPr>
        <w:t xml:space="preserve">) </w:t>
      </w:r>
    </w:p>
    <w:p w:rsidR="00A1128E" w:rsidRDefault="00A1128E">
      <w:pPr>
        <w:pBdr>
          <w:top w:val="nil"/>
          <w:left w:val="nil"/>
          <w:bottom w:val="nil"/>
          <w:right w:val="nil"/>
          <w:between w:val="nil"/>
        </w:pBdr>
        <w:ind w:left="-270" w:right="-270"/>
        <w:jc w:val="center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The Journey Website</w:t>
      </w:r>
      <w:r>
        <w:rPr>
          <w:rFonts w:ascii="Avenir" w:eastAsia="Avenir" w:hAnsi="Avenir" w:cs="Avenir"/>
          <w:b/>
          <w:sz w:val="23"/>
          <w:szCs w:val="23"/>
        </w:rPr>
        <w:tab/>
      </w:r>
    </w:p>
    <w:p w:rsidR="00A1128E" w:rsidRDefault="00EB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A series of brief webinars spotlighting transition planning tools and resources</w:t>
      </w:r>
    </w:p>
    <w:p w:rsidR="00A1128E" w:rsidRDefault="00EB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color w:val="1155CC"/>
          <w:sz w:val="23"/>
          <w:szCs w:val="23"/>
        </w:rPr>
      </w:pPr>
      <w:hyperlink r:id="rId9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https://ohioemploymentfirst.org/view.php?nav_id=484</w:t>
        </w:r>
      </w:hyperlink>
    </w:p>
    <w:p w:rsidR="00A1128E" w:rsidRDefault="00A1128E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color w:val="1155CC"/>
          <w:sz w:val="23"/>
          <w:szCs w:val="23"/>
        </w:rPr>
      </w:pPr>
    </w:p>
    <w:p w:rsidR="00A1128E" w:rsidRDefault="00EB0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Resource List for Introduction to the Ziggurat Model: Supporting Positive Behaviors</w:t>
      </w:r>
    </w:p>
    <w:p w:rsidR="00A1128E" w:rsidRDefault="00EB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  <w:hyperlink r:id="rId10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https://docs.google.com/document/d/165jl_L6_2iQ7zeLgVhOfW1IV3NrDFbVm/edit</w:t>
        </w:r>
      </w:hyperlink>
    </w:p>
    <w:p w:rsidR="00A1128E" w:rsidRDefault="00A1128E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 xml:space="preserve">The </w:t>
      </w:r>
      <w:r>
        <w:rPr>
          <w:rFonts w:ascii="Avenir" w:eastAsia="Avenir" w:hAnsi="Avenir" w:cs="Avenir"/>
          <w:b/>
          <w:sz w:val="23"/>
          <w:szCs w:val="23"/>
        </w:rPr>
        <w:t>Ziggurat Model</w:t>
      </w:r>
      <w:r>
        <w:rPr>
          <w:rFonts w:ascii="Avenir" w:eastAsia="Avenir" w:hAnsi="Avenir" w:cs="Avenir"/>
          <w:sz w:val="23"/>
          <w:szCs w:val="23"/>
        </w:rPr>
        <w:t xml:space="preserve"> by Ruth </w:t>
      </w:r>
      <w:proofErr w:type="spellStart"/>
      <w:r>
        <w:rPr>
          <w:rFonts w:ascii="Avenir" w:eastAsia="Avenir" w:hAnsi="Avenir" w:cs="Avenir"/>
          <w:sz w:val="23"/>
          <w:szCs w:val="23"/>
        </w:rPr>
        <w:t>Asoy</w:t>
      </w:r>
      <w:proofErr w:type="spellEnd"/>
      <w:r>
        <w:rPr>
          <w:rFonts w:ascii="Avenir" w:eastAsia="Avenir" w:hAnsi="Avenir" w:cs="Avenir"/>
          <w:sz w:val="23"/>
          <w:szCs w:val="23"/>
        </w:rPr>
        <w:t>, Ph.D. and Barry Grossman, Ph.D.</w:t>
      </w:r>
    </w:p>
    <w:p w:rsidR="00A1128E" w:rsidRDefault="00EB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A framework for designing comprehensive interventions for individuals with ASD and complex needs. </w:t>
      </w:r>
    </w:p>
    <w:p w:rsidR="00A1128E" w:rsidRDefault="00EB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Borrow FREE from OCALI Lending Library: </w:t>
      </w:r>
      <w:hyperlink r:id="rId11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https://www.ocali.org/project/lending_library</w:t>
        </w:r>
      </w:hyperlink>
    </w:p>
    <w:p w:rsidR="00A1128E" w:rsidRDefault="00EB0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Purchase: </w:t>
      </w:r>
      <w:hyperlink r:id="rId12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https://www.aapcautismbooks.com/</w:t>
        </w:r>
      </w:hyperlink>
    </w:p>
    <w:p w:rsidR="00A1128E" w:rsidRDefault="00A1128E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spacing w:line="216" w:lineRule="auto"/>
        <w:rPr>
          <w:rFonts w:ascii="Avenir" w:eastAsia="Avenir" w:hAnsi="Avenir" w:cs="Avenir"/>
          <w:b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Autism Internet Module: Sensory Differences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b/>
          <w:sz w:val="23"/>
          <w:szCs w:val="23"/>
        </w:rPr>
      </w:pPr>
      <w:hyperlink r:id="rId13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https://autisminternetmodules.org/</w:t>
        </w:r>
      </w:hyperlink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>FREE internet module that addresses sensory differences that many individuals with complex needs report that can differ from those of the general population. Understandi</w:t>
      </w:r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 xml:space="preserve">ng sensory differences may help support individuals with some of the challenges when the root of the issue in the sensory difference and sensory needs.  </w:t>
      </w:r>
    </w:p>
    <w:p w:rsidR="00A1128E" w:rsidRDefault="00A1128E">
      <w:pPr>
        <w:widowControl w:val="0"/>
        <w:rPr>
          <w:rFonts w:ascii="Avenir" w:eastAsia="Avenir" w:hAnsi="Avenir" w:cs="Avenir"/>
          <w:color w:val="333333"/>
          <w:sz w:val="23"/>
          <w:szCs w:val="23"/>
          <w:highlight w:val="white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</w:pPr>
      <w: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  <w:t>Kelly Mahler website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</w:pPr>
      <w:r>
        <w:rPr>
          <w:rFonts w:ascii="Avenir" w:eastAsia="Avenir" w:hAnsi="Avenir" w:cs="Avenir"/>
          <w:sz w:val="23"/>
          <w:szCs w:val="23"/>
        </w:rPr>
        <w:t xml:space="preserve">Dr. Kelly Mahler is known internationally for her work in the area of </w:t>
      </w:r>
      <w:proofErr w:type="spellStart"/>
      <w:r>
        <w:rPr>
          <w:rFonts w:ascii="Avenir" w:eastAsia="Avenir" w:hAnsi="Avenir" w:cs="Avenir"/>
          <w:sz w:val="23"/>
          <w:szCs w:val="23"/>
        </w:rPr>
        <w:t>Interoception</w:t>
      </w:r>
      <w:proofErr w:type="spellEnd"/>
      <w:r>
        <w:rPr>
          <w:rFonts w:ascii="Avenir" w:eastAsia="Avenir" w:hAnsi="Avenir" w:cs="Avenir"/>
          <w:sz w:val="23"/>
          <w:szCs w:val="23"/>
        </w:rPr>
        <w:t>: The Eighth Sensory System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Website includes: Podcasts, Videos, Webinars, Publications, </w:t>
      </w:r>
      <w:proofErr w:type="spellStart"/>
      <w:r>
        <w:rPr>
          <w:rFonts w:ascii="Avenir" w:eastAsia="Avenir" w:hAnsi="Avenir" w:cs="Avenir"/>
          <w:sz w:val="23"/>
          <w:szCs w:val="23"/>
        </w:rPr>
        <w:t>Printables</w:t>
      </w:r>
      <w:proofErr w:type="spellEnd"/>
    </w:p>
    <w:p w:rsidR="00A1128E" w:rsidRDefault="00EB0819">
      <w:pPr>
        <w:widowControl w:val="0"/>
        <w:numPr>
          <w:ilvl w:val="1"/>
          <w:numId w:val="1"/>
        </w:numPr>
        <w:spacing w:line="216" w:lineRule="auto"/>
        <w:rPr>
          <w:rFonts w:ascii="Avenir" w:eastAsia="Avenir" w:hAnsi="Avenir" w:cs="Avenir"/>
          <w:color w:val="333333"/>
          <w:sz w:val="23"/>
          <w:szCs w:val="23"/>
          <w:highlight w:val="white"/>
        </w:rPr>
      </w:pPr>
      <w:hyperlink r:id="rId14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https://www.kelly-mahler.c</w:t>
        </w:r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om</w:t>
        </w:r>
      </w:hyperlink>
    </w:p>
    <w:p w:rsidR="00A1128E" w:rsidRDefault="00A1128E">
      <w:pPr>
        <w:widowControl w:val="0"/>
        <w:spacing w:line="216" w:lineRule="auto"/>
        <w:rPr>
          <w:rFonts w:ascii="Avenir" w:eastAsia="Avenir" w:hAnsi="Avenir" w:cs="Avenir"/>
          <w:color w:val="333333"/>
          <w:sz w:val="23"/>
          <w:szCs w:val="23"/>
          <w:highlight w:val="white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</w:pPr>
      <w: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  <w:t xml:space="preserve">The </w:t>
      </w:r>
      <w:proofErr w:type="spellStart"/>
      <w: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  <w:t>Interoception</w:t>
      </w:r>
      <w:proofErr w:type="spellEnd"/>
      <w: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  <w:t xml:space="preserve"> Curriculum and the </w:t>
      </w:r>
      <w:proofErr w:type="spellStart"/>
      <w: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  <w:t>Interoception</w:t>
      </w:r>
      <w:proofErr w:type="spellEnd"/>
      <w: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  <w:t xml:space="preserve"> Activity Cards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color w:val="333333"/>
          <w:sz w:val="23"/>
          <w:szCs w:val="23"/>
          <w:highlight w:val="white"/>
        </w:rPr>
      </w:pPr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lastRenderedPageBreak/>
        <w:t>By Kelly Mahler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color w:val="333333"/>
          <w:sz w:val="23"/>
          <w:szCs w:val="23"/>
          <w:highlight w:val="white"/>
        </w:rPr>
      </w:pPr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 xml:space="preserve">The </w:t>
      </w:r>
      <w:proofErr w:type="spellStart"/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>Interoception</w:t>
      </w:r>
      <w:proofErr w:type="spellEnd"/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 xml:space="preserve"> Curriculum introduces professionals to a systematic, guided framework to build interoceptive awareness for improved self-regulation. The </w:t>
      </w:r>
      <w:proofErr w:type="spellStart"/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>Interoception</w:t>
      </w:r>
      <w:proofErr w:type="spellEnd"/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 xml:space="preserve"> A</w:t>
      </w:r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 xml:space="preserve">ctivity Cards enhance concepts covered in the curriculum, providing 170 additional </w:t>
      </w:r>
      <w:proofErr w:type="spellStart"/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>interoception</w:t>
      </w:r>
      <w:proofErr w:type="spellEnd"/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 xml:space="preserve">-building activities 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color w:val="333333"/>
          <w:sz w:val="23"/>
          <w:szCs w:val="23"/>
          <w:highlight w:val="white"/>
        </w:rPr>
      </w:pPr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 xml:space="preserve">Purchase: </w:t>
      </w:r>
      <w:hyperlink r:id="rId15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https://www.kelly-mahler.com</w:t>
        </w:r>
      </w:hyperlink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</w:pPr>
      <w:proofErr w:type="spellStart"/>
      <w: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  <w:t>Interoception</w:t>
      </w:r>
      <w:proofErr w:type="spellEnd"/>
      <w:r>
        <w:rPr>
          <w:rFonts w:ascii="Avenir" w:eastAsia="Avenir" w:hAnsi="Avenir" w:cs="Avenir"/>
          <w:b/>
          <w:color w:val="333333"/>
          <w:sz w:val="23"/>
          <w:szCs w:val="23"/>
          <w:highlight w:val="white"/>
        </w:rPr>
        <w:t>: The Eighth Sensory System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color w:val="333333"/>
          <w:sz w:val="23"/>
          <w:szCs w:val="23"/>
          <w:highlight w:val="white"/>
        </w:rPr>
      </w:pPr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>by Kelly M</w:t>
      </w:r>
      <w:r>
        <w:rPr>
          <w:rFonts w:ascii="Avenir" w:eastAsia="Avenir" w:hAnsi="Avenir" w:cs="Avenir"/>
          <w:color w:val="333333"/>
          <w:sz w:val="23"/>
          <w:szCs w:val="23"/>
          <w:highlight w:val="white"/>
        </w:rPr>
        <w:t>ahler</w:t>
      </w:r>
    </w:p>
    <w:p w:rsidR="00A1128E" w:rsidRDefault="00EB0819">
      <w:pPr>
        <w:numPr>
          <w:ilvl w:val="1"/>
          <w:numId w:val="1"/>
        </w:numP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Borrow FREE from OCALI Lending Library: </w:t>
      </w:r>
      <w:hyperlink r:id="rId16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https://www.ocali.org/project/lending_library</w:t>
        </w:r>
      </w:hyperlink>
    </w:p>
    <w:p w:rsidR="00A1128E" w:rsidRDefault="00A1128E">
      <w:pP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  <w:highlight w:val="white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sz w:val="23"/>
          <w:szCs w:val="23"/>
          <w:highlight w:val="white"/>
        </w:rPr>
      </w:pPr>
      <w:r>
        <w:rPr>
          <w:rFonts w:ascii="Avenir" w:eastAsia="Avenir" w:hAnsi="Avenir" w:cs="Avenir"/>
          <w:b/>
          <w:sz w:val="23"/>
          <w:szCs w:val="23"/>
        </w:rPr>
        <w:t>Tips for Supporting Individuals with ASD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Downloadable tips sheet that offers ideas to assist to calm a sensitive sensory system. Useful for a staff </w:t>
      </w:r>
      <w:proofErr w:type="spellStart"/>
      <w:r>
        <w:rPr>
          <w:rFonts w:ascii="Avenir" w:eastAsia="Avenir" w:hAnsi="Avenir" w:cs="Avenir"/>
          <w:sz w:val="23"/>
          <w:szCs w:val="23"/>
        </w:rPr>
        <w:t>inservice</w:t>
      </w:r>
      <w:proofErr w:type="spellEnd"/>
      <w:r>
        <w:rPr>
          <w:rFonts w:ascii="Avenir" w:eastAsia="Avenir" w:hAnsi="Avenir" w:cs="Avenir"/>
          <w:sz w:val="23"/>
          <w:szCs w:val="23"/>
        </w:rPr>
        <w:t xml:space="preserve"> or to spark ideas for the identification of positive behavior supports for individuals with challenging behaviors.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  <w:highlight w:val="white"/>
        </w:rPr>
      </w:pPr>
      <w:hyperlink r:id="rId17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https://www.ocali.org/up_doc/Tips_for_Supporting_Individuals_with_ASD.pdf</w:t>
        </w:r>
      </w:hyperlink>
      <w:r>
        <w:rPr>
          <w:rFonts w:ascii="Avenir" w:eastAsia="Avenir" w:hAnsi="Avenir" w:cs="Avenir"/>
          <w:sz w:val="23"/>
          <w:szCs w:val="23"/>
        </w:rPr>
        <w:t xml:space="preserve"> </w:t>
      </w:r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spacing w:before="200"/>
        <w:rPr>
          <w:rFonts w:ascii="Avenir" w:eastAsia="Avenir" w:hAnsi="Avenir" w:cs="Avenir"/>
          <w:b/>
          <w:sz w:val="23"/>
          <w:szCs w:val="23"/>
          <w:highlight w:val="white"/>
        </w:rPr>
      </w:pPr>
      <w:proofErr w:type="spellStart"/>
      <w:r>
        <w:rPr>
          <w:rFonts w:ascii="Avenir" w:eastAsia="Avenir" w:hAnsi="Avenir" w:cs="Avenir"/>
          <w:b/>
          <w:sz w:val="23"/>
          <w:szCs w:val="23"/>
        </w:rPr>
        <w:t>EducateAutism</w:t>
      </w:r>
      <w:proofErr w:type="spellEnd"/>
      <w:r>
        <w:rPr>
          <w:rFonts w:ascii="Avenir" w:eastAsia="Avenir" w:hAnsi="Avenir" w:cs="Avenir"/>
          <w:b/>
          <w:sz w:val="23"/>
          <w:szCs w:val="23"/>
        </w:rPr>
        <w:t>: Token Economies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Information about and examples to demonstrate the use of token economies as a po</w:t>
      </w:r>
      <w:r>
        <w:rPr>
          <w:rFonts w:ascii="Avenir" w:eastAsia="Avenir" w:hAnsi="Avenir" w:cs="Avenir"/>
          <w:sz w:val="23"/>
          <w:szCs w:val="23"/>
        </w:rPr>
        <w:t xml:space="preserve">sitive reinforcement support. 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Free token economy charts and token </w:t>
      </w:r>
      <w:proofErr w:type="spellStart"/>
      <w:r>
        <w:rPr>
          <w:rFonts w:ascii="Avenir" w:eastAsia="Avenir" w:hAnsi="Avenir" w:cs="Avenir"/>
          <w:sz w:val="23"/>
          <w:szCs w:val="23"/>
        </w:rPr>
        <w:t>printables</w:t>
      </w:r>
      <w:proofErr w:type="spellEnd"/>
      <w:r>
        <w:rPr>
          <w:rFonts w:ascii="Avenir" w:eastAsia="Avenir" w:hAnsi="Avenir" w:cs="Avenir"/>
          <w:sz w:val="23"/>
          <w:szCs w:val="23"/>
        </w:rPr>
        <w:t xml:space="preserve"> can be downloaded at this site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 </w:t>
      </w:r>
      <w:hyperlink r:id="rId18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http://www.educateautism.com/token-economy.html</w:t>
        </w:r>
      </w:hyperlink>
    </w:p>
    <w:p w:rsidR="00A1128E" w:rsidRDefault="00A1128E">
      <w:pPr>
        <w:widowControl w:val="0"/>
        <w:spacing w:before="20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OCALI Autism Center Resource Gallery of Interventions : Token Economies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Free Token charts can be downloaded and printed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hyperlink r:id="rId19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https://www.ocali.org/project/resource_gallery_of_interventions/page/token_economies</w:t>
        </w:r>
      </w:hyperlink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spacing w:before="200"/>
        <w:rPr>
          <w:rFonts w:ascii="Avenir" w:eastAsia="Avenir" w:hAnsi="Avenir" w:cs="Avenir"/>
          <w:b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The Power Card - Strategy 2.0 by Elise Gagnon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Using special interest to motivate and reinforce positive behaviors and skill </w:t>
      </w:r>
      <w:r>
        <w:rPr>
          <w:rFonts w:ascii="Avenir" w:eastAsia="Avenir" w:hAnsi="Avenir" w:cs="Avenir"/>
          <w:sz w:val="23"/>
          <w:szCs w:val="23"/>
        </w:rPr>
        <w:lastRenderedPageBreak/>
        <w:t xml:space="preserve">development. </w:t>
      </w:r>
    </w:p>
    <w:p w:rsidR="00A1128E" w:rsidRDefault="00EB0819">
      <w:pPr>
        <w:numPr>
          <w:ilvl w:val="1"/>
          <w:numId w:val="1"/>
        </w:numP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Borrow FREE fro</w:t>
      </w:r>
      <w:r>
        <w:rPr>
          <w:rFonts w:ascii="Avenir" w:eastAsia="Avenir" w:hAnsi="Avenir" w:cs="Avenir"/>
          <w:sz w:val="23"/>
          <w:szCs w:val="23"/>
        </w:rPr>
        <w:t xml:space="preserve">m OCALI Lending Library: </w:t>
      </w:r>
      <w:hyperlink r:id="rId20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https://www.ocali.org/project/lending_library</w:t>
        </w:r>
      </w:hyperlink>
    </w:p>
    <w:p w:rsidR="00A1128E" w:rsidRDefault="00A1128E">
      <w:pPr>
        <w:tabs>
          <w:tab w:val="left" w:pos="3078"/>
          <w:tab w:val="left" w:pos="8118"/>
        </w:tabs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spacing w:before="200"/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The Power Card Template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Available for download and printing from the OCALI Autism Center Resource Gallery of Interventions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hyperlink r:id="rId21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https://www.ocali.org/project/resource_gallery_of_interve</w:t>
        </w:r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ntions/page/power_cards</w:t>
        </w:r>
      </w:hyperlink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Growing Resilience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Free e-book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From the Resilience Project . A Strong Families Safe Communities project administered by greater Cincinnati Behavioral Health Services with funding support from Ohio Department of Developmental Disa</w:t>
      </w:r>
      <w:r>
        <w:rPr>
          <w:rFonts w:ascii="Avenir" w:eastAsia="Avenir" w:hAnsi="Avenir" w:cs="Avenir"/>
          <w:sz w:val="23"/>
          <w:szCs w:val="23"/>
        </w:rPr>
        <w:t xml:space="preserve">bilities and </w:t>
      </w:r>
      <w:proofErr w:type="spellStart"/>
      <w:r>
        <w:rPr>
          <w:rFonts w:ascii="Avenir" w:eastAsia="Avenir" w:hAnsi="Avenir" w:cs="Avenir"/>
          <w:sz w:val="23"/>
          <w:szCs w:val="23"/>
        </w:rPr>
        <w:t>OhioMHAS</w:t>
      </w:r>
      <w:proofErr w:type="spellEnd"/>
      <w:r>
        <w:rPr>
          <w:rFonts w:ascii="Avenir" w:eastAsia="Avenir" w:hAnsi="Avenir" w:cs="Avenir"/>
          <w:sz w:val="23"/>
          <w:szCs w:val="23"/>
        </w:rPr>
        <w:t>.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hyperlink r:id="rId22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https://governor.ohio.gov/wps/wcm/connect/gov/97bce813-550a-4fb6-8f6e-57e7dda29ff8/GrowingResilience_e-book.pdf?MOD=AJPERES&amp;CONVERT_TO=url&amp;CACHEID=ROOTWORKSPACE.Z18_M1HGGIK0N0JO00QO9DDDDM3000-97bce813-550a-4fb6-8f6e-57e7dda29ff8-mS3t</w:t>
        </w:r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GVr</w:t>
        </w:r>
      </w:hyperlink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OCALI Autism Center Resource Gallery of Interventions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Offers information, examples, resources for many effective strategies that can be used to support many youth with complex needs, not only youth with ASD. 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All strategies offer FREE downloads and </w:t>
      </w:r>
      <w:proofErr w:type="spellStart"/>
      <w:r>
        <w:rPr>
          <w:rFonts w:ascii="Avenir" w:eastAsia="Avenir" w:hAnsi="Avenir" w:cs="Avenir"/>
          <w:sz w:val="23"/>
          <w:szCs w:val="23"/>
        </w:rPr>
        <w:t>printables</w:t>
      </w:r>
      <w:proofErr w:type="spellEnd"/>
      <w:r>
        <w:rPr>
          <w:rFonts w:ascii="Avenir" w:eastAsia="Avenir" w:hAnsi="Avenir" w:cs="Avenir"/>
          <w:sz w:val="23"/>
          <w:szCs w:val="23"/>
        </w:rPr>
        <w:t xml:space="preserve"> 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hyperlink r:id="rId23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https://www.ocali.org/project/resource_gallery_of_interventions</w:t>
        </w:r>
      </w:hyperlink>
      <w:r>
        <w:rPr>
          <w:rFonts w:ascii="Avenir" w:eastAsia="Avenir" w:hAnsi="Avenir" w:cs="Avenir"/>
          <w:sz w:val="23"/>
          <w:szCs w:val="23"/>
        </w:rPr>
        <w:t xml:space="preserve"> </w:t>
      </w:r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sz w:val="23"/>
          <w:szCs w:val="23"/>
        </w:rPr>
      </w:pPr>
      <w:r>
        <w:rPr>
          <w:rFonts w:ascii="Avenir" w:eastAsia="Avenir" w:hAnsi="Avenir" w:cs="Avenir"/>
          <w:b/>
          <w:sz w:val="23"/>
          <w:szCs w:val="23"/>
        </w:rPr>
        <w:t>Indiana Autism Resource Center (IARC)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Visual Supports f</w:t>
      </w:r>
      <w:r>
        <w:rPr>
          <w:rFonts w:ascii="Avenir" w:eastAsia="Avenir" w:hAnsi="Avenir" w:cs="Avenir"/>
          <w:sz w:val="23"/>
          <w:szCs w:val="23"/>
        </w:rPr>
        <w:t>or School, Home and Community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hyperlink r:id="rId24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https://www.iidc.indiana.edu/irca/resources/visual-supports/index.html</w:t>
        </w:r>
      </w:hyperlink>
    </w:p>
    <w:p w:rsidR="00A1128E" w:rsidRDefault="00A1128E">
      <w:pPr>
        <w:widowControl w:val="0"/>
        <w:spacing w:before="20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National Autistic Society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A Guide that reviews types of visual s</w:t>
      </w:r>
      <w:r>
        <w:rPr>
          <w:rFonts w:ascii="Avenir" w:eastAsia="Avenir" w:hAnsi="Avenir" w:cs="Avenir"/>
          <w:sz w:val="23"/>
          <w:szCs w:val="23"/>
        </w:rPr>
        <w:t>upports, uses of visual supports, examples of visual supports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Provides ‘Top Tips’ and useful resources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hyperlink r:id="rId25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https://www.autism.org.uk/advic</w:t>
        </w:r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e-and-guidance/topics/communication/communication-tools/visual-supports</w:t>
        </w:r>
      </w:hyperlink>
      <w:r>
        <w:rPr>
          <w:rFonts w:ascii="Avenir" w:eastAsia="Avenir" w:hAnsi="Avenir" w:cs="Avenir"/>
          <w:sz w:val="23"/>
          <w:szCs w:val="23"/>
        </w:rPr>
        <w:t xml:space="preserve"> </w:t>
      </w:r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Priming Resources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Priming: A strategy to </w:t>
      </w:r>
      <w:r>
        <w:rPr>
          <w:rFonts w:ascii="Avenir" w:eastAsia="Avenir" w:hAnsi="Avenir" w:cs="Avenir"/>
          <w:color w:val="424240"/>
          <w:sz w:val="23"/>
          <w:szCs w:val="23"/>
          <w:shd w:val="clear" w:color="auto" w:fill="FEFDFA"/>
        </w:rPr>
        <w:t xml:space="preserve">help prepare for an upcoming activity or event which is normally difficult for the youth 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Tri-State Autism Collaborative (Colorado-Kansas-Nebraska) PDF </w:t>
      </w:r>
      <w:hyperlink r:id="rId26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https://www.u</w:t>
        </w:r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nl.edu/asdnetwork/downloads/virtual-strategies/Priming.pdf</w:t>
        </w:r>
      </w:hyperlink>
      <w:r>
        <w:rPr>
          <w:rFonts w:ascii="Avenir" w:eastAsia="Avenir" w:hAnsi="Avenir" w:cs="Avenir"/>
          <w:sz w:val="23"/>
          <w:szCs w:val="23"/>
        </w:rPr>
        <w:t xml:space="preserve"> 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Indiana Autism Resource Center: Change is Good! Supporting Students on the Autism Spectrum when Introducing Novelty </w:t>
      </w:r>
      <w:hyperlink r:id="rId27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https://www.iidc.indiana.edu/irca/articles/change-is-good.html</w:t>
        </w:r>
      </w:hyperlink>
      <w:r>
        <w:rPr>
          <w:rFonts w:ascii="Avenir" w:eastAsia="Avenir" w:hAnsi="Avenir" w:cs="Avenir"/>
          <w:sz w:val="23"/>
          <w:szCs w:val="23"/>
        </w:rPr>
        <w:t xml:space="preserve">    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Priming Your Child with Autism for Easier  Transitions </w:t>
      </w:r>
      <w:hyperlink r:id="rId28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https://www.youtube.com/watch?v=oRPSifO_ic0</w:t>
        </w:r>
      </w:hyperlink>
      <w:r>
        <w:rPr>
          <w:rFonts w:ascii="Avenir" w:eastAsia="Avenir" w:hAnsi="Avenir" w:cs="Avenir"/>
          <w:sz w:val="23"/>
          <w:szCs w:val="23"/>
        </w:rPr>
        <w:t xml:space="preserve"> </w:t>
      </w:r>
    </w:p>
    <w:p w:rsidR="00A1128E" w:rsidRDefault="00EB0819">
      <w:pPr>
        <w:widowControl w:val="0"/>
        <w:numPr>
          <w:ilvl w:val="0"/>
          <w:numId w:val="1"/>
        </w:numPr>
        <w:spacing w:line="216" w:lineRule="auto"/>
        <w:rPr>
          <w:rFonts w:ascii="Avenir" w:eastAsia="Avenir" w:hAnsi="Avenir" w:cs="Avenir"/>
          <w:sz w:val="23"/>
          <w:szCs w:val="23"/>
        </w:rPr>
      </w:pPr>
      <w:proofErr w:type="spellStart"/>
      <w:r>
        <w:rPr>
          <w:rFonts w:ascii="Avenir" w:eastAsia="Avenir" w:hAnsi="Avenir" w:cs="Avenir"/>
          <w:sz w:val="23"/>
          <w:szCs w:val="23"/>
        </w:rPr>
        <w:t>InspirED</w:t>
      </w:r>
      <w:proofErr w:type="spellEnd"/>
      <w:r>
        <w:rPr>
          <w:rFonts w:ascii="Avenir" w:eastAsia="Avenir" w:hAnsi="Avenir" w:cs="Avenir"/>
          <w:sz w:val="23"/>
          <w:szCs w:val="23"/>
        </w:rPr>
        <w:t xml:space="preserve"> Virtual Learnin</w:t>
      </w:r>
      <w:r>
        <w:rPr>
          <w:rFonts w:ascii="Avenir" w:eastAsia="Avenir" w:hAnsi="Avenir" w:cs="Avenir"/>
          <w:sz w:val="23"/>
          <w:szCs w:val="23"/>
        </w:rPr>
        <w:t>g Series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Supporting Positive Behaviors at School and at Home - Parts 1 and 2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Antecedent Based Interventions reduce many demands that lead to challenging behaviors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hyperlink r:id="rId29"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https://www.ocali.org</w:t>
        </w:r>
        <w:r>
          <w:rPr>
            <w:rFonts w:ascii="Avenir" w:eastAsia="Avenir" w:hAnsi="Avenir" w:cs="Avenir"/>
            <w:color w:val="1155CC"/>
            <w:sz w:val="23"/>
            <w:szCs w:val="23"/>
            <w:u w:val="single"/>
          </w:rPr>
          <w:t>/project/InspirED-Video-Archive</w:t>
        </w:r>
      </w:hyperlink>
    </w:p>
    <w:p w:rsidR="00A1128E" w:rsidRDefault="00A1128E">
      <w:pPr>
        <w:widowControl w:val="0"/>
        <w:rPr>
          <w:rFonts w:ascii="Avenir" w:eastAsia="Avenir" w:hAnsi="Avenir" w:cs="Avenir"/>
          <w:sz w:val="23"/>
          <w:szCs w:val="23"/>
        </w:rPr>
      </w:pPr>
    </w:p>
    <w:p w:rsidR="00A1128E" w:rsidRDefault="00EB0819">
      <w:pPr>
        <w:widowControl w:val="0"/>
        <w:numPr>
          <w:ilvl w:val="0"/>
          <w:numId w:val="1"/>
        </w:numPr>
        <w:spacing w:line="216" w:lineRule="auto"/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>Gradual Release of Responsibility Model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color w:val="333333"/>
          <w:sz w:val="23"/>
          <w:szCs w:val="23"/>
        </w:rPr>
        <w:t xml:space="preserve">The Gradual Release of </w:t>
      </w:r>
      <w:r>
        <w:rPr>
          <w:rFonts w:ascii="Avenir" w:eastAsia="Avenir" w:hAnsi="Avenir" w:cs="Avenir"/>
          <w:sz w:val="23"/>
          <w:szCs w:val="23"/>
        </w:rPr>
        <w:t xml:space="preserve">Responsibility </w:t>
      </w:r>
      <w:r>
        <w:rPr>
          <w:rFonts w:ascii="Avenir" w:eastAsia="Avenir" w:hAnsi="Avenir" w:cs="Avenir"/>
          <w:sz w:val="23"/>
          <w:szCs w:val="23"/>
          <w:highlight w:val="white"/>
        </w:rPr>
        <w:t>(Pearson and Gallagher, 1993)</w:t>
      </w:r>
      <w:r>
        <w:rPr>
          <w:rFonts w:ascii="Avenir" w:eastAsia="Avenir" w:hAnsi="Avenir" w:cs="Avenir"/>
          <w:color w:val="333333"/>
          <w:sz w:val="23"/>
          <w:szCs w:val="23"/>
        </w:rPr>
        <w:t xml:space="preserve"> is a dynamic instructional model that moves from teacher knowledge to student understanding and application through</w:t>
      </w:r>
      <w:r>
        <w:rPr>
          <w:rFonts w:ascii="Avenir" w:eastAsia="Avenir" w:hAnsi="Avenir" w:cs="Avenir"/>
          <w:color w:val="333333"/>
          <w:sz w:val="23"/>
          <w:szCs w:val="23"/>
        </w:rPr>
        <w:t xml:space="preserve"> four interrelated phases.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color w:val="333333"/>
          <w:sz w:val="23"/>
          <w:szCs w:val="23"/>
        </w:rPr>
      </w:pPr>
      <w:r>
        <w:rPr>
          <w:rFonts w:ascii="Avenir" w:eastAsia="Avenir" w:hAnsi="Avenir" w:cs="Avenir"/>
          <w:color w:val="333333"/>
          <w:sz w:val="23"/>
          <w:szCs w:val="23"/>
        </w:rPr>
        <w:t xml:space="preserve">PDF of PowerPoint explaining the Gradual Release of </w:t>
      </w:r>
      <w:r>
        <w:rPr>
          <w:rFonts w:ascii="Avenir" w:eastAsia="Avenir" w:hAnsi="Avenir" w:cs="Avenir"/>
          <w:sz w:val="23"/>
          <w:szCs w:val="23"/>
        </w:rPr>
        <w:t>Responsibility Model</w:t>
      </w:r>
    </w:p>
    <w:p w:rsidR="00A1128E" w:rsidRDefault="00EB0819">
      <w:pPr>
        <w:widowControl w:val="0"/>
        <w:numPr>
          <w:ilvl w:val="2"/>
          <w:numId w:val="1"/>
        </w:numPr>
        <w:rPr>
          <w:rFonts w:ascii="Avenir" w:eastAsia="Avenir" w:hAnsi="Avenir" w:cs="Avenir"/>
          <w:sz w:val="23"/>
          <w:szCs w:val="23"/>
        </w:rPr>
      </w:pPr>
      <w:hyperlink r:id="rId30"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https://cdn2.hubspot.net/hubfs/345105/New%20Teacher%20Resources/Gradual-Release-of-Responsibility.pdf?__hstc=111609627.2ba6df882e3b03c5b506b6529ee066</w:t>
        </w:r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lastRenderedPageBreak/>
          <w:t>16.1527</w:t>
        </w:r>
        <w:r>
          <w:rPr>
            <w:rFonts w:ascii="Avenir" w:eastAsia="Avenir" w:hAnsi="Avenir" w:cs="Avenir"/>
            <w:color w:val="0563C1"/>
            <w:sz w:val="23"/>
            <w:szCs w:val="23"/>
            <w:u w:val="single"/>
          </w:rPr>
          <w:t>186441268.1540833089935.1540838230515.151&amp;__hssc=111609627.1.1540841507296&amp;__hsfp=1694357499&amp;hsCtaTracking=80c63fbf-360d-4b6e-b70e-af340a742be6%7C2ebf39fa-cba7-4847-b005-bae3674e34ab</w:t>
        </w:r>
      </w:hyperlink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</w:rPr>
      </w:pPr>
      <w:r>
        <w:rPr>
          <w:rFonts w:ascii="Avenir" w:eastAsia="Avenir" w:hAnsi="Avenir" w:cs="Avenir"/>
          <w:sz w:val="23"/>
          <w:szCs w:val="23"/>
        </w:rPr>
        <w:t xml:space="preserve">Online Module of the </w:t>
      </w:r>
      <w:r>
        <w:rPr>
          <w:rFonts w:ascii="Avenir" w:eastAsia="Avenir" w:hAnsi="Avenir" w:cs="Avenir"/>
          <w:sz w:val="23"/>
          <w:szCs w:val="23"/>
          <w:highlight w:val="white"/>
        </w:rPr>
        <w:t>Gradual Release of Responsibility (GRR) Framework fo</w:t>
      </w:r>
      <w:r>
        <w:rPr>
          <w:rFonts w:ascii="Avenir" w:eastAsia="Avenir" w:hAnsi="Avenir" w:cs="Avenir"/>
          <w:sz w:val="23"/>
          <w:szCs w:val="23"/>
          <w:highlight w:val="white"/>
        </w:rPr>
        <w:t>r Active Learning</w:t>
      </w:r>
    </w:p>
    <w:p w:rsidR="00A1128E" w:rsidRDefault="00EB0819">
      <w:pPr>
        <w:widowControl w:val="0"/>
        <w:numPr>
          <w:ilvl w:val="2"/>
          <w:numId w:val="1"/>
        </w:numPr>
        <w:rPr>
          <w:rFonts w:ascii="Avenir" w:eastAsia="Avenir" w:hAnsi="Avenir" w:cs="Avenir"/>
          <w:sz w:val="23"/>
          <w:szCs w:val="23"/>
          <w:highlight w:val="white"/>
        </w:rPr>
      </w:pPr>
      <w:hyperlink r:id="rId31">
        <w:r>
          <w:rPr>
            <w:rFonts w:ascii="Avenir" w:eastAsia="Avenir" w:hAnsi="Avenir" w:cs="Avenir"/>
            <w:color w:val="1155CC"/>
            <w:sz w:val="23"/>
            <w:szCs w:val="23"/>
            <w:highlight w:val="white"/>
            <w:u w:val="single"/>
          </w:rPr>
          <w:t>https://www.thinkport.org/grr/index.html</w:t>
        </w:r>
      </w:hyperlink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sz w:val="23"/>
          <w:szCs w:val="23"/>
          <w:highlight w:val="white"/>
        </w:rPr>
      </w:pPr>
      <w:r>
        <w:rPr>
          <w:rFonts w:ascii="Avenir" w:eastAsia="Avenir" w:hAnsi="Avenir" w:cs="Avenir"/>
          <w:sz w:val="23"/>
          <w:szCs w:val="23"/>
          <w:highlight w:val="white"/>
        </w:rPr>
        <w:t>Gradual Release of responsibility Graphic</w:t>
      </w:r>
    </w:p>
    <w:p w:rsidR="00A1128E" w:rsidRDefault="00EB0819">
      <w:pPr>
        <w:widowControl w:val="0"/>
        <w:numPr>
          <w:ilvl w:val="2"/>
          <w:numId w:val="1"/>
        </w:numPr>
        <w:rPr>
          <w:rFonts w:ascii="Avenir" w:eastAsia="Avenir" w:hAnsi="Avenir" w:cs="Avenir"/>
          <w:sz w:val="23"/>
          <w:szCs w:val="23"/>
          <w:highlight w:val="white"/>
        </w:rPr>
      </w:pPr>
      <w:hyperlink r:id="rId32">
        <w:r>
          <w:rPr>
            <w:rFonts w:ascii="Avenir" w:eastAsia="Avenir" w:hAnsi="Avenir" w:cs="Avenir"/>
            <w:color w:val="1155CC"/>
            <w:sz w:val="23"/>
            <w:szCs w:val="23"/>
            <w:highlight w:val="white"/>
            <w:u w:val="single"/>
          </w:rPr>
          <w:t>https://www.literacyleader.com/node/</w:t>
        </w:r>
        <w:r>
          <w:rPr>
            <w:rFonts w:ascii="Avenir" w:eastAsia="Avenir" w:hAnsi="Avenir" w:cs="Avenir"/>
            <w:color w:val="1155CC"/>
            <w:sz w:val="23"/>
            <w:szCs w:val="23"/>
            <w:highlight w:val="white"/>
            <w:u w:val="single"/>
          </w:rPr>
          <w:t>477</w:t>
        </w:r>
      </w:hyperlink>
    </w:p>
    <w:p w:rsidR="00A1128E" w:rsidRDefault="00A1128E">
      <w:pPr>
        <w:widowControl w:val="0"/>
        <w:rPr>
          <w:rFonts w:ascii="Avenir" w:eastAsia="Avenir" w:hAnsi="Avenir" w:cs="Avenir"/>
          <w:b/>
          <w:sz w:val="23"/>
          <w:szCs w:val="23"/>
          <w:highlight w:val="white"/>
        </w:rPr>
      </w:pPr>
    </w:p>
    <w:p w:rsidR="00A1128E" w:rsidRDefault="00EB0819">
      <w:pPr>
        <w:widowControl w:val="0"/>
        <w:numPr>
          <w:ilvl w:val="0"/>
          <w:numId w:val="1"/>
        </w:numPr>
        <w:shd w:val="clear" w:color="auto" w:fill="FFFFFF"/>
        <w:rPr>
          <w:rFonts w:ascii="Avenir" w:eastAsia="Avenir" w:hAnsi="Avenir" w:cs="Avenir"/>
          <w:b/>
          <w:color w:val="232333"/>
          <w:sz w:val="23"/>
          <w:szCs w:val="23"/>
        </w:rPr>
      </w:pPr>
      <w:r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  <w:t xml:space="preserve">NEXT JOURNEY WEBINAR: </w:t>
      </w:r>
      <w:r>
        <w:rPr>
          <w:rFonts w:ascii="Avenir" w:eastAsia="Avenir" w:hAnsi="Avenir" w:cs="Avenir"/>
          <w:b/>
          <w:i/>
          <w:color w:val="232333"/>
          <w:sz w:val="23"/>
          <w:szCs w:val="23"/>
          <w:highlight w:val="white"/>
        </w:rPr>
        <w:t>Targeting Meaningful Curriculum for Transition Age Youth with Complex Needs: Considerations and Resources</w:t>
      </w:r>
      <w:r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  <w:t xml:space="preserve"> with Shawna Benson, Director OCALI Diverse Learners Center</w:t>
      </w:r>
    </w:p>
    <w:p w:rsidR="00A1128E" w:rsidRDefault="00EB0819">
      <w:pPr>
        <w:widowControl w:val="0"/>
        <w:numPr>
          <w:ilvl w:val="1"/>
          <w:numId w:val="1"/>
        </w:numPr>
        <w:rPr>
          <w:rFonts w:ascii="Avenir" w:eastAsia="Avenir" w:hAnsi="Avenir" w:cs="Avenir"/>
          <w:b/>
          <w:sz w:val="23"/>
          <w:szCs w:val="23"/>
          <w:highlight w:val="white"/>
        </w:rPr>
      </w:pPr>
      <w:r>
        <w:rPr>
          <w:rFonts w:ascii="Avenir" w:eastAsia="Avenir" w:hAnsi="Avenir" w:cs="Avenir"/>
          <w:b/>
          <w:sz w:val="23"/>
          <w:szCs w:val="23"/>
          <w:highlight w:val="white"/>
        </w:rPr>
        <w:t>February 22, 2021 @ 2:30 PM</w:t>
      </w:r>
    </w:p>
    <w:p w:rsidR="00A1128E" w:rsidRDefault="00EB0819">
      <w:pPr>
        <w:widowControl w:val="0"/>
        <w:numPr>
          <w:ilvl w:val="1"/>
          <w:numId w:val="1"/>
        </w:numPr>
        <w:shd w:val="clear" w:color="auto" w:fill="FFFFFF"/>
        <w:rPr>
          <w:rFonts w:ascii="Avenir" w:eastAsia="Avenir" w:hAnsi="Avenir" w:cs="Avenir"/>
          <w:b/>
          <w:sz w:val="23"/>
          <w:szCs w:val="23"/>
          <w:highlight w:val="white"/>
        </w:rPr>
      </w:pPr>
      <w:r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  <w:t>Registration Link</w:t>
      </w:r>
    </w:p>
    <w:p w:rsidR="00A1128E" w:rsidRDefault="00EB0819">
      <w:pPr>
        <w:widowControl w:val="0"/>
        <w:numPr>
          <w:ilvl w:val="1"/>
          <w:numId w:val="1"/>
        </w:numPr>
        <w:shd w:val="clear" w:color="auto" w:fill="FFFFFF"/>
        <w:rPr>
          <w:rFonts w:ascii="Avenir" w:eastAsia="Avenir" w:hAnsi="Avenir" w:cs="Avenir"/>
          <w:b/>
          <w:sz w:val="23"/>
          <w:szCs w:val="23"/>
          <w:highlight w:val="white"/>
        </w:rPr>
      </w:pPr>
      <w:r>
        <w:rPr>
          <w:rFonts w:ascii="Avenir" w:eastAsia="Avenir" w:hAnsi="Avenir" w:cs="Avenir"/>
          <w:b/>
          <w:sz w:val="23"/>
          <w:szCs w:val="23"/>
          <w:highlight w:val="white"/>
        </w:rPr>
        <w:t>https://zoom.us/webinar/register/WN_im237QVeTsmnUcwglEqPPw</w:t>
      </w:r>
      <w:r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  <w:t xml:space="preserve"> </w:t>
      </w:r>
    </w:p>
    <w:p w:rsidR="00A1128E" w:rsidRDefault="00A1128E">
      <w:pPr>
        <w:widowControl w:val="0"/>
        <w:shd w:val="clear" w:color="auto" w:fill="FFFFFF"/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</w:pPr>
    </w:p>
    <w:p w:rsidR="00A1128E" w:rsidRDefault="00EB0819">
      <w:pPr>
        <w:widowControl w:val="0"/>
        <w:numPr>
          <w:ilvl w:val="0"/>
          <w:numId w:val="1"/>
        </w:numPr>
        <w:shd w:val="clear" w:color="auto" w:fill="FFFFFF"/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</w:pPr>
      <w:r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  <w:t xml:space="preserve">Post-Session Survey Link: </w:t>
      </w:r>
      <w:hyperlink r:id="rId33">
        <w:r>
          <w:rPr>
            <w:b/>
            <w:color w:val="1155CC"/>
            <w:highlight w:val="white"/>
            <w:u w:val="single"/>
          </w:rPr>
          <w:t>https://www.surveymonkey.com/r/G8ZCKBT</w:t>
        </w:r>
      </w:hyperlink>
    </w:p>
    <w:p w:rsidR="00A1128E" w:rsidRDefault="00EB0819">
      <w:pPr>
        <w:widowControl w:val="0"/>
        <w:shd w:val="clear" w:color="auto" w:fill="FFFFFF"/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</w:pPr>
      <w:r>
        <w:rPr>
          <w:rFonts w:ascii="Avenir" w:eastAsia="Avenir" w:hAnsi="Avenir" w:cs="Avenir"/>
          <w:b/>
          <w:color w:val="232333"/>
          <w:sz w:val="23"/>
          <w:szCs w:val="23"/>
          <w:highlight w:val="white"/>
        </w:rPr>
        <w:t>Download certificate after completing survey</w:t>
      </w:r>
    </w:p>
    <w:p w:rsidR="00A1128E" w:rsidRDefault="00A1128E">
      <w:pPr>
        <w:widowControl w:val="0"/>
        <w:rPr>
          <w:rFonts w:ascii="Avenir" w:eastAsia="Avenir" w:hAnsi="Avenir" w:cs="Avenir"/>
        </w:rPr>
      </w:pPr>
    </w:p>
    <w:sectPr w:rsidR="00A1128E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819" w:rsidRDefault="00EB0819">
      <w:r>
        <w:separator/>
      </w:r>
    </w:p>
  </w:endnote>
  <w:endnote w:type="continuationSeparator" w:id="0">
    <w:p w:rsidR="00EB0819" w:rsidRDefault="00EB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28E" w:rsidRDefault="00EB0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>
      <w:rPr>
        <w:rFonts w:ascii="Avenir" w:eastAsia="Avenir" w:hAnsi="Avenir" w:cs="Avenir"/>
        <w:color w:val="000000"/>
        <w:sz w:val="18"/>
        <w:szCs w:val="18"/>
      </w:rPr>
      <w:t xml:space="preserve">. </w:t>
    </w:r>
  </w:p>
  <w:p w:rsidR="00A1128E" w:rsidRDefault="00EB0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color w:val="000000"/>
        <w:sz w:val="18"/>
        <w:szCs w:val="18"/>
      </w:rPr>
    </w:pPr>
    <w:r>
      <w:rPr>
        <w:rFonts w:ascii="Avenir" w:eastAsia="Avenir" w:hAnsi="Avenir" w:cs="Avenir"/>
        <w:sz w:val="18"/>
        <w:szCs w:val="18"/>
      </w:rPr>
      <w:t>The Ziggurat Model</w:t>
    </w:r>
    <w:r>
      <w:rPr>
        <w:rFonts w:ascii="Avenir" w:eastAsia="Avenir" w:hAnsi="Avenir" w:cs="Avenir"/>
        <w:color w:val="000000"/>
        <w:sz w:val="18"/>
        <w:szCs w:val="18"/>
      </w:rPr>
      <w:t xml:space="preserve"> - </w:t>
    </w: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:rsidR="00A1128E" w:rsidRDefault="00EB0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color w:val="000000"/>
        <w:sz w:val="16"/>
        <w:szCs w:val="16"/>
      </w:rPr>
    </w:pPr>
    <w:r>
      <w:rPr>
        <w:rFonts w:ascii="Avenir" w:eastAsia="Avenir" w:hAnsi="Avenir" w:cs="Avenir"/>
        <w:i/>
        <w:color w:val="000000"/>
        <w:sz w:val="16"/>
        <w:szCs w:val="16"/>
      </w:rPr>
      <w:t>NOTE: Inclusion of products or resources on this list DOES NOT constitute endorsement or recommendation by OCALI or DODD.</w:t>
    </w:r>
  </w:p>
  <w:p w:rsidR="00A1128E" w:rsidRDefault="00A11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819" w:rsidRDefault="00EB0819">
      <w:r>
        <w:separator/>
      </w:r>
    </w:p>
  </w:footnote>
  <w:footnote w:type="continuationSeparator" w:id="0">
    <w:p w:rsidR="00EB0819" w:rsidRDefault="00EB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28E" w:rsidRDefault="00EB0819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2105025</wp:posOffset>
          </wp:positionH>
          <wp:positionV relativeFrom="paragraph">
            <wp:posOffset>-257173</wp:posOffset>
          </wp:positionV>
          <wp:extent cx="1709738" cy="903520"/>
          <wp:effectExtent l="12700" t="12700" r="12700" b="1270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738" cy="903520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A1128E" w:rsidRDefault="00A1128E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</w:p>
  <w:p w:rsidR="00A1128E" w:rsidRDefault="00A1128E">
    <w:pPr>
      <w:pBdr>
        <w:top w:val="nil"/>
        <w:left w:val="nil"/>
        <w:bottom w:val="nil"/>
        <w:right w:val="nil"/>
        <w:between w:val="nil"/>
      </w:pBdr>
      <w:spacing w:before="160"/>
      <w:ind w:left="-720" w:right="-720"/>
      <w:jc w:val="center"/>
      <w:rPr>
        <w:rFonts w:ascii="Avenir" w:eastAsia="Avenir" w:hAnsi="Avenir" w:cs="Avenir"/>
        <w:b/>
        <w:sz w:val="2"/>
        <w:szCs w:val="2"/>
      </w:rPr>
    </w:pPr>
  </w:p>
  <w:p w:rsidR="00A1128E" w:rsidRDefault="00EB0819">
    <w:pPr>
      <w:pBdr>
        <w:top w:val="nil"/>
        <w:left w:val="nil"/>
        <w:bottom w:val="nil"/>
        <w:right w:val="nil"/>
        <w:between w:val="nil"/>
      </w:pBdr>
      <w:spacing w:before="160"/>
      <w:ind w:left="-720" w:right="-720"/>
      <w:jc w:val="center"/>
      <w:rPr>
        <w:rFonts w:ascii="Avenir" w:eastAsia="Avenir" w:hAnsi="Avenir" w:cs="Avenir"/>
        <w:b/>
        <w:color w:val="000000"/>
        <w:sz w:val="39"/>
        <w:szCs w:val="39"/>
      </w:rPr>
    </w:pPr>
    <w:r>
      <w:rPr>
        <w:rFonts w:ascii="Avenir" w:eastAsia="Avenir" w:hAnsi="Avenir" w:cs="Avenir"/>
        <w:b/>
        <w:sz w:val="39"/>
        <w:szCs w:val="39"/>
      </w:rPr>
      <w:t>Introduction to Ziggurat: Supporting Positive Behaviors</w:t>
    </w:r>
  </w:p>
  <w:p w:rsidR="00A1128E" w:rsidRDefault="00EB0819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i/>
        <w:color w:val="000000"/>
        <w:sz w:val="25"/>
        <w:szCs w:val="25"/>
      </w:rPr>
    </w:pPr>
    <w:r>
      <w:rPr>
        <w:rFonts w:ascii="Avenir" w:eastAsia="Avenir" w:hAnsi="Avenir" w:cs="Avenir"/>
        <w:b/>
        <w:i/>
        <w:sz w:val="25"/>
        <w:szCs w:val="25"/>
      </w:rPr>
      <w:t>January 11, 2021</w:t>
    </w:r>
  </w:p>
  <w:p w:rsidR="00A1128E" w:rsidRDefault="00EB0819">
    <w:pPr>
      <w:spacing w:before="160"/>
      <w:jc w:val="center"/>
      <w:rPr>
        <w:rFonts w:ascii="Avenir" w:eastAsia="Avenir" w:hAnsi="Avenir" w:cs="Avenir"/>
        <w:b/>
        <w:sz w:val="29"/>
        <w:szCs w:val="29"/>
      </w:rPr>
    </w:pPr>
    <w:r>
      <w:rPr>
        <w:rFonts w:ascii="Avenir" w:eastAsia="Avenir" w:hAnsi="Avenir" w:cs="Avenir"/>
        <w:b/>
        <w:sz w:val="29"/>
        <w:szCs w:val="29"/>
      </w:rPr>
      <w:t>Resource List</w:t>
    </w:r>
  </w:p>
  <w:p w:rsidR="00A1128E" w:rsidRDefault="00A1128E">
    <w:pPr>
      <w:spacing w:before="160"/>
      <w:jc w:val="center"/>
      <w:rPr>
        <w:rFonts w:ascii="Avenir" w:eastAsia="Avenir" w:hAnsi="Avenir" w:cs="Avenir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6F5A"/>
    <w:multiLevelType w:val="multilevel"/>
    <w:tmpl w:val="20082384"/>
    <w:lvl w:ilvl="0">
      <w:start w:val="1"/>
      <w:numFmt w:val="decimal"/>
      <w:lvlText w:val="%1."/>
      <w:lvlJc w:val="left"/>
      <w:pPr>
        <w:ind w:left="108" w:hanging="360"/>
      </w:pPr>
    </w:lvl>
    <w:lvl w:ilvl="1">
      <w:start w:val="1"/>
      <w:numFmt w:val="bullet"/>
      <w:lvlText w:val="○"/>
      <w:lvlJc w:val="left"/>
      <w:pPr>
        <w:ind w:left="828" w:hanging="360"/>
      </w:pPr>
    </w:lvl>
    <w:lvl w:ilvl="2">
      <w:start w:val="1"/>
      <w:numFmt w:val="lowerRoman"/>
      <w:lvlText w:val="%3."/>
      <w:lvlJc w:val="right"/>
      <w:pPr>
        <w:ind w:left="1548" w:hanging="180"/>
      </w:pPr>
    </w:lvl>
    <w:lvl w:ilvl="3">
      <w:start w:val="1"/>
      <w:numFmt w:val="decimal"/>
      <w:lvlText w:val="%4."/>
      <w:lvlJc w:val="left"/>
      <w:pPr>
        <w:ind w:left="2268" w:hanging="360"/>
      </w:pPr>
    </w:lvl>
    <w:lvl w:ilvl="4">
      <w:start w:val="1"/>
      <w:numFmt w:val="lowerLetter"/>
      <w:lvlText w:val="%5."/>
      <w:lvlJc w:val="left"/>
      <w:pPr>
        <w:ind w:left="2988" w:hanging="360"/>
      </w:pPr>
    </w:lvl>
    <w:lvl w:ilvl="5">
      <w:start w:val="1"/>
      <w:numFmt w:val="lowerRoman"/>
      <w:lvlText w:val="%6."/>
      <w:lvlJc w:val="right"/>
      <w:pPr>
        <w:ind w:left="3708" w:hanging="180"/>
      </w:pPr>
    </w:lvl>
    <w:lvl w:ilvl="6">
      <w:start w:val="1"/>
      <w:numFmt w:val="decimal"/>
      <w:lvlText w:val="%7."/>
      <w:lvlJc w:val="left"/>
      <w:pPr>
        <w:ind w:left="4428" w:hanging="360"/>
      </w:pPr>
    </w:lvl>
    <w:lvl w:ilvl="7">
      <w:start w:val="1"/>
      <w:numFmt w:val="lowerLetter"/>
      <w:lvlText w:val="%8."/>
      <w:lvlJc w:val="left"/>
      <w:pPr>
        <w:ind w:left="5148" w:hanging="360"/>
      </w:pPr>
    </w:lvl>
    <w:lvl w:ilvl="8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8E"/>
    <w:rsid w:val="00083E21"/>
    <w:rsid w:val="00A1128E"/>
    <w:rsid w:val="00E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B4FD450-C3B5-6D45-8B43-A0312AA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tisminternetmodules.org/" TargetMode="External"/><Relationship Id="rId18" Type="http://schemas.openxmlformats.org/officeDocument/2006/relationships/hyperlink" Target="http://www.educateautism.com/token-economy.html" TargetMode="External"/><Relationship Id="rId26" Type="http://schemas.openxmlformats.org/officeDocument/2006/relationships/hyperlink" Target="https://www.unl.edu/asdnetwork/downloads/virtual-strategies/Priming.pdf" TargetMode="External"/><Relationship Id="rId21" Type="http://schemas.openxmlformats.org/officeDocument/2006/relationships/hyperlink" Target="https://www.ocali.org/project/resource_gallery_of_interventions/page/power_card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apcautismbooks.com/" TargetMode="External"/><Relationship Id="rId17" Type="http://schemas.openxmlformats.org/officeDocument/2006/relationships/hyperlink" Target="https://www.ocali.org/up_doc/Tips_for_Supporting_Individuals_with_ASD.pdf" TargetMode="External"/><Relationship Id="rId25" Type="http://schemas.openxmlformats.org/officeDocument/2006/relationships/hyperlink" Target="https://www.autism.org.uk/advice-and-guidance/topics/communication/communication-tools/visual-supports" TargetMode="External"/><Relationship Id="rId33" Type="http://schemas.openxmlformats.org/officeDocument/2006/relationships/hyperlink" Target="https://www.surveymonkey.com/r/G8ZCK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cali.org/project/lending_library" TargetMode="External"/><Relationship Id="rId20" Type="http://schemas.openxmlformats.org/officeDocument/2006/relationships/hyperlink" Target="https://www.ocali.org/project/lending_library" TargetMode="External"/><Relationship Id="rId29" Type="http://schemas.openxmlformats.org/officeDocument/2006/relationships/hyperlink" Target="https://www.ocali.org/project/InspirED-Video-Archi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ali.org/project/lending_library" TargetMode="External"/><Relationship Id="rId24" Type="http://schemas.openxmlformats.org/officeDocument/2006/relationships/hyperlink" Target="https://www.iidc.indiana.edu/irca/resources/visual-supports/index.html" TargetMode="External"/><Relationship Id="rId32" Type="http://schemas.openxmlformats.org/officeDocument/2006/relationships/hyperlink" Target="https://www.literacyleader.com/node/47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elly-mahler.com" TargetMode="External"/><Relationship Id="rId23" Type="http://schemas.openxmlformats.org/officeDocument/2006/relationships/hyperlink" Target="https://www.ocali.org/project/resource_gallery_of_interventions" TargetMode="External"/><Relationship Id="rId28" Type="http://schemas.openxmlformats.org/officeDocument/2006/relationships/hyperlink" Target="https://www.youtube.com/watch?v=oRPSifO_ic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document/d/165jl_L6_2iQ7zeLgVhOfW1IV3NrDFbVm/edit" TargetMode="External"/><Relationship Id="rId19" Type="http://schemas.openxmlformats.org/officeDocument/2006/relationships/hyperlink" Target="https://www.ocali.org/project/resource_gallery_of_interventions/page/token_economies" TargetMode="External"/><Relationship Id="rId31" Type="http://schemas.openxmlformats.org/officeDocument/2006/relationships/hyperlink" Target="https://www.thinkport.org/gr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ioemploymentfirst.org/view.php?nav_id=484" TargetMode="External"/><Relationship Id="rId14" Type="http://schemas.openxmlformats.org/officeDocument/2006/relationships/hyperlink" Target="https://www.kelly-mahler.com" TargetMode="External"/><Relationship Id="rId22" Type="http://schemas.openxmlformats.org/officeDocument/2006/relationships/hyperlink" Target="https://governor.ohio.gov/wps/wcm/connect/gov/97bce813-550a-4fb6-8f6e-57e7dda29ff8/GrowingResilience_e-book.pdf?MOD=AJPERES&amp;CONVERT_TO=url&amp;CACHEID=ROOTWORKSPACE.Z18_M1HGGIK0N0JO00QO9DDDDM3000-97bce813-550a-4fb6-8f6e-57e7dda29ff8-mS3tGVr" TargetMode="External"/><Relationship Id="rId27" Type="http://schemas.openxmlformats.org/officeDocument/2006/relationships/hyperlink" Target="https://www.iidc.indiana.edu/irca/articles/change-is-good.html" TargetMode="External"/><Relationship Id="rId30" Type="http://schemas.openxmlformats.org/officeDocument/2006/relationships/hyperlink" Target="https://cdn2.hubspot.net/hubfs/345105/New%20Teacher%20Resources/Gradual-Release-of-Responsibility.pdf?__hstc=111609627.2ba6df882e3b03c5b506b6529ee06616.1527186441268.1540833089935.1540838230515.151&amp;__hssc=111609627.1.1540841507296&amp;__hsfp=1694357499&amp;hsCtaTracking=80c63fbf-360d-4b6e-b70e-af340a742be6%7C2ebf39fa-cba7-4847-b005-bae3674e34ab" TargetMode="External"/><Relationship Id="rId35" Type="http://schemas.openxmlformats.org/officeDocument/2006/relationships/footer" Target="footer1.xml"/><Relationship Id="rId8" Type="http://schemas.openxmlformats.org/officeDocument/2006/relationships/hyperlink" Target="mailto:chris_filler@ocali.org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EXhlW5zqlvsSTONujvR9I2hNw==">AMUW2mWx0QHGToeVdr8+PdZg92kwAnn4ncJbxu9p+QEgoO1gAfv/MgAC+/z27hTbHHRAGf1JFrme+SlFWK4kBqVbiZHad+Go0+0Yr4H8XVtR6KrfqZmuxhs=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Dobush</dc:creator>
  <cp:lastModifiedBy>Chris Filler</cp:lastModifiedBy>
  <cp:revision>2</cp:revision>
  <dcterms:created xsi:type="dcterms:W3CDTF">2021-01-12T11:06:00Z</dcterms:created>
  <dcterms:modified xsi:type="dcterms:W3CDTF">2021-01-12T11:06:00Z</dcterms:modified>
</cp:coreProperties>
</file>